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FB410E" w:rsidRPr="00766F07" w:rsidRDefault="00FB410E" w:rsidP="000A24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Задача 1*. </w:t>
      </w:r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Кругооборот расходов и доходов в закрытой экономиче</w:t>
      </w:r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системе характеризуется следующими потоками: 900 ед. — заработная плата; 40 ед. — амортизация; 200 ед. — чистые частные внутренние инвестиции; 60 ед. — нераспределенная прибыль кор</w:t>
      </w:r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пораций; 100 ед. — дивиденды; 700 ед. — потребительские расходы домохозяйств; 200 ед. — пенсии, стипендии, пособия; 300 ед. — подоходный налоги; 150 ед. — налоги на</w:t>
      </w:r>
      <w:proofErr w:type="gramStart"/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>рибыль корпораций; 200 ед. — государственные закупки товаров и услуг.</w:t>
      </w:r>
    </w:p>
    <w:p w:rsidR="00FB410E" w:rsidRPr="00766F07" w:rsidRDefault="00FB410E" w:rsidP="000A24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Рассчитав потоки перемещения денежных средств между различными секторами экономики, заполните таблицу кругоо</w:t>
      </w:r>
      <w:r w:rsidRPr="00766F0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борота расходов и доходов (табл. 1).</w:t>
      </w:r>
    </w:p>
    <w:tbl>
      <w:tblPr>
        <w:tblStyle w:val="a3"/>
        <w:tblW w:w="0" w:type="auto"/>
        <w:tblLook w:val="04A0"/>
      </w:tblPr>
      <w:tblGrid>
        <w:gridCol w:w="2032"/>
        <w:gridCol w:w="1786"/>
        <w:gridCol w:w="2057"/>
        <w:gridCol w:w="1389"/>
        <w:gridCol w:w="1246"/>
        <w:gridCol w:w="759"/>
      </w:tblGrid>
      <w:tr w:rsidR="00FB410E" w:rsidRPr="00766F07" w:rsidTr="006941C2">
        <w:tc>
          <w:tcPr>
            <w:tcW w:w="185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07">
              <w:rPr>
                <w:rFonts w:ascii="Times New Roman" w:hAnsi="Times New Roman" w:cs="Times New Roman"/>
                <w:sz w:val="24"/>
                <w:szCs w:val="24"/>
              </w:rPr>
              <w:t>От / к</w:t>
            </w:r>
          </w:p>
        </w:tc>
        <w:tc>
          <w:tcPr>
            <w:tcW w:w="1633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>Домохозяйствам</w:t>
            </w:r>
          </w:p>
        </w:tc>
        <w:tc>
          <w:tcPr>
            <w:tcW w:w="187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>Предпринимателям</w:t>
            </w:r>
          </w:p>
        </w:tc>
        <w:tc>
          <w:tcPr>
            <w:tcW w:w="1274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>Государству</w:t>
            </w:r>
          </w:p>
        </w:tc>
        <w:tc>
          <w:tcPr>
            <w:tcW w:w="114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>Сектору имущества</w:t>
            </w:r>
          </w:p>
        </w:tc>
        <w:tc>
          <w:tcPr>
            <w:tcW w:w="70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</w:tr>
      <w:tr w:rsidR="00FB410E" w:rsidRPr="00766F07" w:rsidTr="006941C2"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Домохозяйств      </w:t>
            </w: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0E" w:rsidRPr="00766F07" w:rsidTr="006941C2">
        <w:trPr>
          <w:trHeight w:val="533"/>
        </w:trPr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Предпринимателей      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0E" w:rsidRPr="00766F07" w:rsidTr="006941C2"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Государства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0E" w:rsidRPr="00766F07" w:rsidTr="006941C2"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Заграницы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0E" w:rsidRPr="00766F07" w:rsidTr="006941C2"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Сектора имущества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0E" w:rsidRPr="00766F07" w:rsidTr="006941C2">
        <w:tc>
          <w:tcPr>
            <w:tcW w:w="185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70BD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3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B410E" w:rsidRPr="00766F07" w:rsidRDefault="00FB410E" w:rsidP="00AC3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10E" w:rsidRDefault="00FB410E" w:rsidP="000A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410E" w:rsidRPr="00766F07" w:rsidRDefault="00FB410E" w:rsidP="000A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E64">
        <w:rPr>
          <w:rFonts w:ascii="Times New Roman" w:hAnsi="Times New Roman" w:cs="Times New Roman"/>
          <w:i/>
          <w:sz w:val="24"/>
          <w:szCs w:val="24"/>
        </w:rPr>
        <w:t>Задача 2*.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F07">
        <w:rPr>
          <w:rFonts w:ascii="Times New Roman" w:hAnsi="Times New Roman" w:cs="Times New Roman"/>
          <w:sz w:val="24"/>
          <w:szCs w:val="24"/>
        </w:rPr>
        <w:t xml:space="preserve">Кругооборот расходов и доходов на </w:t>
      </w:r>
      <w:proofErr w:type="spellStart"/>
      <w:r w:rsidRPr="00766F07">
        <w:rPr>
          <w:rFonts w:ascii="Times New Roman" w:hAnsi="Times New Roman" w:cs="Times New Roman"/>
          <w:sz w:val="24"/>
          <w:szCs w:val="24"/>
        </w:rPr>
        <w:t>макроуровне</w:t>
      </w:r>
      <w:proofErr w:type="spellEnd"/>
      <w:r w:rsidRPr="00766F07">
        <w:rPr>
          <w:rFonts w:ascii="Times New Roman" w:hAnsi="Times New Roman" w:cs="Times New Roman"/>
          <w:sz w:val="24"/>
          <w:szCs w:val="24"/>
        </w:rPr>
        <w:t xml:space="preserve"> характеризуется следующими потоками: заработная плата: 1000 ед.; амортизация: 75, чистые частные внутренние инвестиции: 300; экспорт товаров и услуг: 100, зарубежные инвестиции: 50; импорт товаров и услуг: 150; нераспределенная прибыль корпораций: 5; дивиденды: 60; потребительские расходы: 700; пенсии, стипендии, пособия: 200, подоходные налоги: 350;</w:t>
      </w:r>
      <w:proofErr w:type="gramEnd"/>
      <w:r w:rsidRPr="00766F07">
        <w:rPr>
          <w:rFonts w:ascii="Times New Roman" w:hAnsi="Times New Roman" w:cs="Times New Roman"/>
          <w:sz w:val="24"/>
          <w:szCs w:val="24"/>
        </w:rPr>
        <w:t xml:space="preserve"> налоги на прибыль корпораций: 100;  государственные закупки: 210. Рассчитав потоки перемещения денежных средств между разными секторами экономики, заполните следующую таблицу: </w:t>
      </w:r>
    </w:p>
    <w:tbl>
      <w:tblPr>
        <w:tblStyle w:val="a3"/>
        <w:tblW w:w="0" w:type="auto"/>
        <w:tblLook w:val="04A0"/>
      </w:tblPr>
      <w:tblGrid>
        <w:gridCol w:w="1702"/>
        <w:gridCol w:w="1501"/>
        <w:gridCol w:w="1722"/>
        <w:gridCol w:w="1266"/>
        <w:gridCol w:w="1175"/>
        <w:gridCol w:w="1207"/>
        <w:gridCol w:w="998"/>
      </w:tblGrid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От / к</w:t>
            </w: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Домохозяйствам</w:t>
            </w: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Предпринимателям</w:t>
            </w: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Государству</w:t>
            </w: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Загранице</w:t>
            </w: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Сектору имущества</w:t>
            </w: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Домохозяйств      </w:t>
            </w: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Предпринимателей      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Государства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Заграницы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Сектора имущества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10E" w:rsidRPr="00766F07" w:rsidTr="006941C2">
        <w:tc>
          <w:tcPr>
            <w:tcW w:w="170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BD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B410E" w:rsidRPr="009170BD" w:rsidRDefault="00FB410E" w:rsidP="00AC36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10E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</w:rPr>
      </w:pPr>
    </w:p>
    <w:p w:rsidR="00FB410E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</w:pPr>
      <w:r w:rsidRPr="00E600DC">
        <w:rPr>
          <w:rFonts w:ascii="Times New Roman" w:eastAsia="Times New Roman" w:hAnsi="Times New Roman"/>
          <w:i/>
          <w:iCs/>
          <w:color w:val="000000"/>
          <w:sz w:val="24"/>
        </w:rPr>
        <w:t>Задача 3*.</w:t>
      </w:r>
      <w:r>
        <w:rPr>
          <w:rFonts w:ascii="Times New Roman" w:eastAsia="Times New Roman" w:hAnsi="Times New Roman"/>
          <w:iCs/>
          <w:color w:val="000000"/>
          <w:sz w:val="24"/>
        </w:rPr>
        <w:t xml:space="preserve"> </w:t>
      </w:r>
      <w:r w:rsidRPr="00D85BD8">
        <w:rPr>
          <w:rFonts w:ascii="Times New Roman" w:hAnsi="Times New Roman" w:cs="Times New Roman"/>
          <w:sz w:val="24"/>
          <w:szCs w:val="24"/>
        </w:rPr>
        <w:t xml:space="preserve">Потребительские расходы домашних хозяйств за прошлый год составили 500 </w:t>
      </w:r>
      <w:proofErr w:type="spellStart"/>
      <w:r w:rsidRPr="00D85BD8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D85BD8">
        <w:rPr>
          <w:rFonts w:ascii="Times New Roman" w:hAnsi="Times New Roman" w:cs="Times New Roman"/>
          <w:sz w:val="24"/>
          <w:szCs w:val="24"/>
        </w:rPr>
        <w:t xml:space="preserve">. ед. Фирмы инвестировали в производство 100 </w:t>
      </w:r>
      <w:proofErr w:type="spellStart"/>
      <w:r w:rsidRPr="00D85BD8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D85BD8">
        <w:rPr>
          <w:rFonts w:ascii="Times New Roman" w:hAnsi="Times New Roman" w:cs="Times New Roman"/>
          <w:sz w:val="24"/>
          <w:szCs w:val="24"/>
        </w:rPr>
        <w:t xml:space="preserve">. ед. Расходы иностранного сектора на отечественный продукт составили 150 </w:t>
      </w:r>
      <w:proofErr w:type="spellStart"/>
      <w:r w:rsidRPr="00D85BD8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D85BD8">
        <w:rPr>
          <w:rFonts w:ascii="Times New Roman" w:hAnsi="Times New Roman" w:cs="Times New Roman"/>
          <w:sz w:val="24"/>
          <w:szCs w:val="24"/>
        </w:rPr>
        <w:t xml:space="preserve">. ед., т.е. на 30 </w:t>
      </w:r>
      <w:proofErr w:type="spellStart"/>
      <w:r w:rsidRPr="00D85BD8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D85BD8">
        <w:rPr>
          <w:rFonts w:ascii="Times New Roman" w:hAnsi="Times New Roman" w:cs="Times New Roman"/>
          <w:sz w:val="24"/>
          <w:szCs w:val="24"/>
        </w:rPr>
        <w:t xml:space="preserve">. ед. меньше, чем было потрачено на товары иностранного производства. Государственные закупки превысили на 50 </w:t>
      </w:r>
      <w:proofErr w:type="spellStart"/>
      <w:r w:rsidRPr="00D85BD8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D85BD8">
        <w:rPr>
          <w:rFonts w:ascii="Times New Roman" w:hAnsi="Times New Roman" w:cs="Times New Roman"/>
          <w:sz w:val="24"/>
          <w:szCs w:val="24"/>
        </w:rPr>
        <w:t>. ед. величину чистых налогов, взимаемых с частного сектора в размере 20% совокупного дохода. Определите величину государственных закупок и объем совокупного дохода.</w:t>
      </w:r>
      <w:r>
        <w:t xml:space="preserve"> </w:t>
      </w:r>
    </w:p>
    <w:p w:rsidR="00FB410E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FB410E" w:rsidRPr="00E600DC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4"/>
        </w:rPr>
      </w:pPr>
      <w:r w:rsidRPr="00E600DC">
        <w:rPr>
          <w:rFonts w:ascii="Times New Roman" w:eastAsia="Times New Roman" w:hAnsi="Times New Roman"/>
          <w:i/>
          <w:color w:val="000000"/>
          <w:spacing w:val="-4"/>
          <w:sz w:val="24"/>
        </w:rPr>
        <w:lastRenderedPageBreak/>
        <w:t>Задача 4*.</w:t>
      </w:r>
      <w:r>
        <w:rPr>
          <w:rFonts w:ascii="Times New Roman" w:eastAsia="Times New Roman" w:hAnsi="Times New Roman"/>
          <w:color w:val="000000"/>
          <w:spacing w:val="-4"/>
          <w:sz w:val="24"/>
        </w:rPr>
        <w:t xml:space="preserve">  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С </w:t>
      </w:r>
      <w:r w:rsidRPr="00E600DC">
        <w:rPr>
          <w:rFonts w:ascii="Times New Roman" w:eastAsia="Times New Roman" w:hAnsi="Times New Roman"/>
          <w:color w:val="000000"/>
          <w:sz w:val="24"/>
        </w:rPr>
        <w:t xml:space="preserve">= 2000;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G</w:t>
      </w:r>
      <w:r w:rsidRPr="00E600DC">
        <w:rPr>
          <w:rFonts w:ascii="Times New Roman" w:eastAsia="Times New Roman" w:hAnsi="Times New Roman"/>
          <w:color w:val="000000"/>
          <w:sz w:val="24"/>
        </w:rPr>
        <w:t xml:space="preserve">= 500; 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>Т</w:t>
      </w:r>
      <w:proofErr w:type="gramStart"/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r</w:t>
      </w:r>
      <w:proofErr w:type="gramEnd"/>
      <w:r w:rsidRPr="00E600DC">
        <w:rPr>
          <w:rFonts w:ascii="Times New Roman" w:eastAsia="Times New Roman" w:hAnsi="Times New Roman"/>
          <w:color w:val="000000"/>
          <w:sz w:val="24"/>
        </w:rPr>
        <w:t xml:space="preserve">= 150;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</w:rPr>
        <w:t>Т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</w:rPr>
        <w:t>х</w:t>
      </w:r>
      <w:r w:rsidRPr="00E600DC">
        <w:rPr>
          <w:rFonts w:ascii="Times New Roman" w:eastAsia="Times New Roman" w:hAnsi="Times New Roman"/>
          <w:color w:val="000000"/>
          <w:sz w:val="24"/>
        </w:rPr>
        <w:t>=</w:t>
      </w:r>
      <w:proofErr w:type="spellEnd"/>
      <w:r w:rsidRPr="00E600DC">
        <w:rPr>
          <w:rFonts w:ascii="Times New Roman" w:eastAsia="Times New Roman" w:hAnsi="Times New Roman"/>
          <w:color w:val="000000"/>
          <w:sz w:val="24"/>
        </w:rPr>
        <w:t xml:space="preserve"> 600; </w:t>
      </w:r>
      <w:proofErr w:type="spellStart"/>
      <w:r w:rsidRPr="00E600DC">
        <w:rPr>
          <w:rFonts w:ascii="Times New Roman" w:eastAsia="Times New Roman" w:hAnsi="Times New Roman"/>
          <w:color w:val="000000"/>
          <w:sz w:val="24"/>
        </w:rPr>
        <w:t>профицит</w:t>
      </w:r>
      <w:proofErr w:type="spellEnd"/>
      <w:r w:rsidRPr="00E600DC">
        <w:rPr>
          <w:rFonts w:ascii="Times New Roman" w:eastAsia="Times New Roman" w:hAnsi="Times New Roman"/>
          <w:color w:val="000000"/>
          <w:sz w:val="24"/>
        </w:rPr>
        <w:t xml:space="preserve"> торгово</w:t>
      </w:r>
      <w:r w:rsidRPr="00E600DC">
        <w:rPr>
          <w:rFonts w:ascii="Times New Roman" w:eastAsia="Times New Roman" w:hAnsi="Times New Roman"/>
          <w:color w:val="000000"/>
          <w:sz w:val="24"/>
        </w:rPr>
        <w:softHyphen/>
        <w:t xml:space="preserve">го баланса равен 200,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I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m</w:t>
      </w:r>
      <w:proofErr w:type="spellEnd"/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 = </w:t>
      </w:r>
      <w:r w:rsidRPr="00E600DC">
        <w:rPr>
          <w:rFonts w:ascii="Times New Roman" w:eastAsia="Times New Roman" w:hAnsi="Times New Roman"/>
          <w:color w:val="000000"/>
          <w:sz w:val="24"/>
        </w:rPr>
        <w:t xml:space="preserve">150. Сумма всех изъятий равна 1700. Найти: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</w:rPr>
        <w:t>Е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</w:rPr>
        <w:t>х</w:t>
      </w:r>
      <w:proofErr w:type="spellEnd"/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I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color w:val="000000"/>
          <w:sz w:val="24"/>
          <w:lang w:val="en-US"/>
        </w:rPr>
        <w:t>Y</w:t>
      </w:r>
      <w:r w:rsidRPr="00E600DC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S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g</w:t>
      </w:r>
      <w:proofErr w:type="spellEnd"/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S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p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>.</w:t>
      </w:r>
    </w:p>
    <w:p w:rsidR="00FB410E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pacing w:val="-4"/>
          <w:sz w:val="24"/>
        </w:rPr>
      </w:pPr>
    </w:p>
    <w:p w:rsidR="00FB410E" w:rsidRPr="00E600DC" w:rsidRDefault="00FB410E" w:rsidP="000A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4"/>
        </w:rPr>
      </w:pPr>
      <w:r w:rsidRPr="00D57E2A">
        <w:rPr>
          <w:rFonts w:ascii="Times New Roman" w:eastAsia="ArialMT" w:hAnsi="Times New Roman" w:cs="Times New Roman"/>
          <w:i/>
          <w:sz w:val="24"/>
          <w:szCs w:val="24"/>
        </w:rPr>
        <w:t>Задача 5*.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E600DC">
        <w:rPr>
          <w:rFonts w:ascii="Times New Roman" w:eastAsia="Times New Roman" w:hAnsi="Times New Roman"/>
          <w:color w:val="000000"/>
          <w:spacing w:val="-4"/>
          <w:sz w:val="24"/>
        </w:rPr>
        <w:t xml:space="preserve">Сумма всех инъекций равна 2050.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pacing w:val="-4"/>
          <w:sz w:val="24"/>
        </w:rPr>
        <w:t>Х</w:t>
      </w:r>
      <w:r w:rsidRPr="00E600DC">
        <w:rPr>
          <w:rFonts w:ascii="Times New Roman" w:eastAsia="Times New Roman" w:hAnsi="Times New Roman"/>
          <w:iCs/>
          <w:color w:val="000000"/>
          <w:spacing w:val="-4"/>
          <w:sz w:val="24"/>
          <w:vertAlign w:val="subscript"/>
        </w:rPr>
        <w:t>п</w:t>
      </w:r>
      <w:proofErr w:type="spellEnd"/>
      <w:r w:rsidRPr="00E600DC">
        <w:rPr>
          <w:rFonts w:ascii="Times New Roman" w:eastAsia="Times New Roman" w:hAnsi="Times New Roman"/>
          <w:iCs/>
          <w:color w:val="000000"/>
          <w:spacing w:val="-4"/>
          <w:sz w:val="24"/>
        </w:rPr>
        <w:t xml:space="preserve"> = </w:t>
      </w:r>
      <w:r w:rsidRPr="00E600DC">
        <w:rPr>
          <w:rFonts w:ascii="Times New Roman" w:eastAsia="Times New Roman" w:hAnsi="Times New Roman"/>
          <w:color w:val="000000"/>
          <w:spacing w:val="-4"/>
          <w:sz w:val="24"/>
        </w:rPr>
        <w:t xml:space="preserve">–100;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pacing w:val="-4"/>
          <w:sz w:val="24"/>
        </w:rPr>
        <w:t>Е</w:t>
      </w:r>
      <w:r w:rsidRPr="00E600DC">
        <w:rPr>
          <w:rFonts w:ascii="Times New Roman" w:eastAsia="Times New Roman" w:hAnsi="Times New Roman"/>
          <w:iCs/>
          <w:color w:val="000000"/>
          <w:spacing w:val="-4"/>
          <w:sz w:val="24"/>
          <w:vertAlign w:val="subscript"/>
        </w:rPr>
        <w:t>х</w:t>
      </w:r>
      <w:r w:rsidRPr="00E600DC">
        <w:rPr>
          <w:rFonts w:ascii="Times New Roman" w:eastAsia="Times New Roman" w:hAnsi="Times New Roman"/>
          <w:color w:val="000000"/>
          <w:spacing w:val="-4"/>
          <w:sz w:val="24"/>
        </w:rPr>
        <w:t>=</w:t>
      </w:r>
      <w:proofErr w:type="spellEnd"/>
      <w:r w:rsidRPr="00E600DC">
        <w:rPr>
          <w:rFonts w:ascii="Times New Roman" w:eastAsia="Times New Roman" w:hAnsi="Times New Roman"/>
          <w:color w:val="000000"/>
          <w:spacing w:val="-4"/>
          <w:sz w:val="24"/>
        </w:rPr>
        <w:t xml:space="preserve"> 200. С = 3000;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G</w:t>
      </w:r>
      <w:r w:rsidRPr="00E600DC">
        <w:rPr>
          <w:rFonts w:ascii="Times New Roman" w:eastAsia="Times New Roman" w:hAnsi="Times New Roman"/>
          <w:color w:val="000000"/>
          <w:sz w:val="24"/>
        </w:rPr>
        <w:t xml:space="preserve">= 400; 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>Т</w:t>
      </w:r>
      <w:proofErr w:type="gramStart"/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r</w:t>
      </w:r>
      <w:proofErr w:type="gramEnd"/>
      <w:r w:rsidRPr="00E600DC">
        <w:rPr>
          <w:rFonts w:ascii="Times New Roman" w:eastAsia="Times New Roman" w:hAnsi="Times New Roman"/>
          <w:color w:val="000000"/>
          <w:sz w:val="24"/>
        </w:rPr>
        <w:t xml:space="preserve">= 100;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</w:rPr>
        <w:t>Т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</w:rPr>
        <w:t>х</w:t>
      </w:r>
      <w:r w:rsidRPr="00E600DC">
        <w:rPr>
          <w:rFonts w:ascii="Times New Roman" w:eastAsia="Times New Roman" w:hAnsi="Times New Roman"/>
          <w:color w:val="000000"/>
          <w:sz w:val="24"/>
        </w:rPr>
        <w:t>=</w:t>
      </w:r>
      <w:proofErr w:type="spellEnd"/>
      <w:r w:rsidRPr="00E600DC">
        <w:rPr>
          <w:rFonts w:ascii="Times New Roman" w:eastAsia="Times New Roman" w:hAnsi="Times New Roman"/>
          <w:color w:val="000000"/>
          <w:sz w:val="24"/>
        </w:rPr>
        <w:t xml:space="preserve"> 500. Найти: </w:t>
      </w:r>
      <w:proofErr w:type="spellStart"/>
      <w:proofErr w:type="gramStart"/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I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m</w:t>
      </w:r>
      <w:proofErr w:type="spellEnd"/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I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Y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proofErr w:type="spellStart"/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S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g</w:t>
      </w:r>
      <w:proofErr w:type="spellEnd"/>
      <w:r w:rsidRPr="00E600DC">
        <w:rPr>
          <w:rFonts w:ascii="Times New Roman" w:eastAsia="Times New Roman" w:hAnsi="Times New Roman"/>
          <w:iCs/>
          <w:color w:val="000000"/>
          <w:sz w:val="24"/>
        </w:rPr>
        <w:t xml:space="preserve">, </w:t>
      </w:r>
      <w:r w:rsidRPr="00E600DC">
        <w:rPr>
          <w:rFonts w:ascii="Times New Roman" w:eastAsia="Times New Roman" w:hAnsi="Times New Roman"/>
          <w:iCs/>
          <w:color w:val="000000"/>
          <w:sz w:val="24"/>
          <w:lang w:val="en-US"/>
        </w:rPr>
        <w:t>S</w:t>
      </w:r>
      <w:r w:rsidRPr="00E600DC">
        <w:rPr>
          <w:rFonts w:ascii="Times New Roman" w:eastAsia="Times New Roman" w:hAnsi="Times New Roman"/>
          <w:iCs/>
          <w:color w:val="000000"/>
          <w:sz w:val="24"/>
          <w:vertAlign w:val="subscript"/>
          <w:lang w:val="en-US"/>
        </w:rPr>
        <w:t>p</w:t>
      </w:r>
      <w:r w:rsidRPr="00E600DC">
        <w:rPr>
          <w:rFonts w:ascii="Times New Roman" w:eastAsia="Times New Roman" w:hAnsi="Times New Roman"/>
          <w:iCs/>
          <w:color w:val="000000"/>
          <w:sz w:val="24"/>
        </w:rPr>
        <w:t>.</w:t>
      </w:r>
      <w:proofErr w:type="gramEnd"/>
    </w:p>
    <w:p w:rsidR="00FB410E" w:rsidRDefault="00FB410E" w:rsidP="000A2459">
      <w:pPr>
        <w:spacing w:after="0" w:line="240" w:lineRule="auto"/>
        <w:ind w:firstLine="567"/>
      </w:pPr>
    </w:p>
    <w:p w:rsidR="00FB410E" w:rsidRPr="00D57E2A" w:rsidRDefault="00FB410E" w:rsidP="000A2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F32C04">
        <w:rPr>
          <w:rFonts w:ascii="Times New Roman" w:hAnsi="Times New Roman" w:cs="Times New Roman"/>
          <w:i/>
          <w:sz w:val="24"/>
          <w:szCs w:val="24"/>
        </w:rPr>
        <w:t>Задача 6*.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E2A">
        <w:rPr>
          <w:rFonts w:ascii="Times New Roman" w:eastAsia="ArialMT" w:hAnsi="Times New Roman" w:cs="Times New Roman"/>
          <w:sz w:val="24"/>
          <w:szCs w:val="24"/>
        </w:rPr>
        <w:t>Предположим, что в смешанной закрытой экономической системе планы частного сектора на текущий год характеризовались следующими данными: 1500 ед. – потребительские расходы домохозяйств; 400 ед. – чистые инвестиции предпринимателей, Государство планировало собрать прямых налогов на 400 ед., довести объем бюджетных расходов до 420 ед., направив 80 ед. на выплату пенсий, стипендий и пособий.</w:t>
      </w:r>
      <w:proofErr w:type="gramEnd"/>
    </w:p>
    <w:p w:rsidR="00FB410E" w:rsidRPr="00D57E2A" w:rsidRDefault="00FB410E" w:rsidP="000A2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57E2A">
        <w:rPr>
          <w:rFonts w:ascii="Times New Roman" w:eastAsia="ArialMT" w:hAnsi="Times New Roman" w:cs="Times New Roman"/>
          <w:sz w:val="24"/>
          <w:szCs w:val="24"/>
        </w:rPr>
        <w:t>Определите:</w:t>
      </w:r>
    </w:p>
    <w:p w:rsidR="00FB410E" w:rsidRPr="00D57E2A" w:rsidRDefault="00FB410E" w:rsidP="000A2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57E2A">
        <w:rPr>
          <w:rFonts w:ascii="Times New Roman" w:eastAsia="ArialMT" w:hAnsi="Times New Roman" w:cs="Times New Roman"/>
          <w:sz w:val="24"/>
          <w:szCs w:val="24"/>
        </w:rPr>
        <w:t>а) равновесный объем реального национального дохода;</w:t>
      </w:r>
    </w:p>
    <w:p w:rsidR="00FB410E" w:rsidRPr="00D57E2A" w:rsidRDefault="00FB410E" w:rsidP="000A2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57E2A">
        <w:rPr>
          <w:rFonts w:ascii="Times New Roman" w:eastAsia="ArialMT" w:hAnsi="Times New Roman" w:cs="Times New Roman"/>
          <w:sz w:val="24"/>
          <w:szCs w:val="24"/>
        </w:rPr>
        <w:t>б) равновесный объем национальных сбережений;</w:t>
      </w:r>
    </w:p>
    <w:p w:rsidR="00FB410E" w:rsidRPr="00D57E2A" w:rsidRDefault="00FB410E" w:rsidP="000A2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57E2A">
        <w:rPr>
          <w:rFonts w:ascii="Times New Roman" w:eastAsia="ArialMT" w:hAnsi="Times New Roman" w:cs="Times New Roman"/>
          <w:sz w:val="24"/>
          <w:szCs w:val="24"/>
        </w:rPr>
        <w:t>в) равновесный объем сбережений домохозяйств.</w:t>
      </w:r>
    </w:p>
    <w:p w:rsidR="00FB410E" w:rsidRDefault="00FB410E" w:rsidP="000A2459">
      <w:pPr>
        <w:spacing w:after="0" w:line="240" w:lineRule="auto"/>
        <w:ind w:firstLine="567"/>
      </w:pPr>
    </w:p>
    <w:p w:rsidR="00FB410E" w:rsidRDefault="00FB410E" w:rsidP="000A2459">
      <w:pPr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7*. </w:t>
      </w:r>
      <w:r w:rsidRPr="00F32C04">
        <w:rPr>
          <w:rFonts w:ascii="Times New Roman" w:hAnsi="Times New Roman" w:cs="Times New Roman"/>
          <w:sz w:val="24"/>
          <w:szCs w:val="24"/>
        </w:rPr>
        <w:t xml:space="preserve">Совокупный доход, заработанный в производстве товаров и услуг, равен 2400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. ед. Фирмы инвестировали в текущем году 900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. ед. Объем экспорта составил 700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. ед., что на 200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. ед. превышало расходы на импорт.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 государственного бюджета </w:t>
      </w:r>
      <w:proofErr w:type="gramStart"/>
      <w:r w:rsidRPr="00F32C04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F32C04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 xml:space="preserve">. ед. Трансфертные платежи частному сектору отсутствуют. Сумма всех изъятий из потока доходов составила 1900 </w:t>
      </w:r>
      <w:proofErr w:type="spellStart"/>
      <w:r w:rsidRPr="00F32C04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32C04">
        <w:rPr>
          <w:rFonts w:ascii="Times New Roman" w:hAnsi="Times New Roman" w:cs="Times New Roman"/>
          <w:sz w:val="24"/>
          <w:szCs w:val="24"/>
        </w:rPr>
        <w:t>. ед. Определите величину потребительских расходов домашних хозяйств.</w:t>
      </w:r>
    </w:p>
    <w:p w:rsidR="000A2459" w:rsidRDefault="000A2459" w:rsidP="000A24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410E" w:rsidRPr="00D85BD8" w:rsidRDefault="00FB410E" w:rsidP="000A24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5BD8">
        <w:rPr>
          <w:rFonts w:ascii="Times New Roman" w:eastAsia="Times New Roman" w:hAnsi="Times New Roman" w:cs="Times New Roman"/>
          <w:i/>
          <w:sz w:val="24"/>
          <w:szCs w:val="24"/>
        </w:rPr>
        <w:t>Задача 8*.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BD8">
        <w:rPr>
          <w:rFonts w:ascii="Times New Roman" w:eastAsia="Times New Roman" w:hAnsi="Times New Roman" w:cs="Times New Roman"/>
          <w:sz w:val="24"/>
          <w:szCs w:val="24"/>
        </w:rPr>
        <w:t>Равновесный объем реального национального дохода в стране с открытой экономикой составил 6000 ед. При этом на</w:t>
      </w:r>
      <w:r w:rsidRPr="00D85BD8">
        <w:rPr>
          <w:rFonts w:ascii="Times New Roman" w:eastAsia="Times New Roman" w:hAnsi="Times New Roman" w:cs="Times New Roman"/>
          <w:sz w:val="24"/>
          <w:szCs w:val="24"/>
        </w:rPr>
        <w:softHyphen/>
        <w:t>селение уплачивало подоходный налог в размере 500 ед. и получало 200 ед. из государственною бюджета в форме трансферт</w:t>
      </w:r>
      <w:r w:rsidRPr="00D85BD8">
        <w:rPr>
          <w:rFonts w:ascii="Times New Roman" w:eastAsia="Times New Roman" w:hAnsi="Times New Roman" w:cs="Times New Roman"/>
          <w:sz w:val="24"/>
          <w:szCs w:val="24"/>
        </w:rPr>
        <w:softHyphen/>
        <w:t>ных платежей.</w:t>
      </w:r>
      <w:proofErr w:type="gramEnd"/>
      <w:r w:rsidRPr="00D85BD8">
        <w:rPr>
          <w:rFonts w:ascii="Times New Roman" w:eastAsia="Times New Roman" w:hAnsi="Times New Roman" w:cs="Times New Roman"/>
          <w:sz w:val="24"/>
          <w:szCs w:val="24"/>
        </w:rPr>
        <w:t xml:space="preserve"> Величина, чистых инвестиций была равна 1200 ед., сбережения государства достигли объема 100 ед., а чистый экспорт составил 100 ед. Какой объем потребительских расходов домохозяйств позволил обеспечить равновесие кругооборота в экономике?</w:t>
      </w:r>
    </w:p>
    <w:p w:rsidR="00FB410E" w:rsidRDefault="00FB410E" w:rsidP="000A2459">
      <w:pPr>
        <w:spacing w:after="0" w:line="240" w:lineRule="auto"/>
        <w:ind w:firstLine="567"/>
      </w:pPr>
    </w:p>
    <w:p w:rsidR="00FB410E" w:rsidRDefault="00FB410E" w:rsidP="000A2459">
      <w:pPr>
        <w:spacing w:after="0" w:line="240" w:lineRule="auto"/>
        <w:ind w:firstLine="567"/>
      </w:pPr>
      <w:r w:rsidRPr="00392B2C">
        <w:rPr>
          <w:rFonts w:ascii="Times New Roman" w:hAnsi="Times New Roman" w:cs="Times New Roman"/>
          <w:i/>
          <w:sz w:val="24"/>
        </w:rPr>
        <w:t>Задача 9*.</w:t>
      </w:r>
      <w:r>
        <w:t xml:space="preserve"> </w:t>
      </w:r>
      <w:r w:rsidRPr="00392B2C">
        <w:rPr>
          <w:rFonts w:ascii="Times New Roman" w:hAnsi="Times New Roman" w:cs="Times New Roman"/>
          <w:sz w:val="24"/>
          <w:szCs w:val="24"/>
        </w:rPr>
        <w:t xml:space="preserve">В закрытой экономике потребительские расходы составляют 2200 </w:t>
      </w:r>
      <w:proofErr w:type="spellStart"/>
      <w:proofErr w:type="gram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392B2C">
        <w:rPr>
          <w:rFonts w:ascii="Times New Roman" w:hAnsi="Times New Roman" w:cs="Times New Roman"/>
          <w:sz w:val="24"/>
          <w:szCs w:val="24"/>
        </w:rPr>
        <w:t xml:space="preserve"> дол., инвестиции – 700 </w:t>
      </w:r>
      <w:proofErr w:type="spell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392B2C">
        <w:rPr>
          <w:rFonts w:ascii="Times New Roman" w:hAnsi="Times New Roman" w:cs="Times New Roman"/>
          <w:sz w:val="24"/>
          <w:szCs w:val="24"/>
        </w:rPr>
        <w:t xml:space="preserve"> дол., государственные закупки – 500 </w:t>
      </w:r>
      <w:proofErr w:type="spell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392B2C">
        <w:rPr>
          <w:rFonts w:ascii="Times New Roman" w:hAnsi="Times New Roman" w:cs="Times New Roman"/>
          <w:sz w:val="24"/>
          <w:szCs w:val="24"/>
        </w:rPr>
        <w:t xml:space="preserve"> дол., трансферты – 100 </w:t>
      </w:r>
      <w:proofErr w:type="spell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392B2C">
        <w:rPr>
          <w:rFonts w:ascii="Times New Roman" w:hAnsi="Times New Roman" w:cs="Times New Roman"/>
          <w:sz w:val="24"/>
          <w:szCs w:val="24"/>
        </w:rPr>
        <w:t xml:space="preserve"> дол., выплаты процентов по государственному долгу – 50 </w:t>
      </w:r>
      <w:proofErr w:type="spell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392B2C">
        <w:rPr>
          <w:rFonts w:ascii="Times New Roman" w:hAnsi="Times New Roman" w:cs="Times New Roman"/>
          <w:sz w:val="24"/>
          <w:szCs w:val="24"/>
        </w:rPr>
        <w:t xml:space="preserve"> дол., налоги – 600 </w:t>
      </w:r>
      <w:proofErr w:type="spellStart"/>
      <w:r w:rsidRPr="00392B2C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392B2C">
        <w:rPr>
          <w:rFonts w:ascii="Times New Roman" w:hAnsi="Times New Roman" w:cs="Times New Roman"/>
          <w:sz w:val="24"/>
          <w:szCs w:val="24"/>
        </w:rPr>
        <w:t xml:space="preserve"> дол. Определите частные сбережения и сальдо государственного бюджета.</w:t>
      </w:r>
    </w:p>
    <w:p w:rsidR="00FB410E" w:rsidRPr="00BA0F81" w:rsidRDefault="00FB410E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B410E" w:rsidRPr="00BA0F81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A2459"/>
    <w:rsid w:val="0013460B"/>
    <w:rsid w:val="00253C33"/>
    <w:rsid w:val="00884D59"/>
    <w:rsid w:val="00AC3686"/>
    <w:rsid w:val="00BA0F81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6</cp:revision>
  <dcterms:created xsi:type="dcterms:W3CDTF">2020-08-27T10:17:00Z</dcterms:created>
  <dcterms:modified xsi:type="dcterms:W3CDTF">2020-11-04T01:56:00Z</dcterms:modified>
</cp:coreProperties>
</file>